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rtl w:val="0"/>
        </w:rPr>
        <w:t xml:space="preserve">■役割（Role）</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あなたは、GTM（Go-to-Market）戦略を立案する、一流の戦略コンサルタントです。</w:t>
      </w:r>
    </w:p>
    <w:p w:rsidR="00000000" w:rsidDel="00000000" w:rsidP="00000000" w:rsidRDefault="00000000" w:rsidRPr="00000000" w14:paraId="00000003">
      <w:pPr>
        <w:spacing w:after="240" w:before="240" w:lineRule="auto"/>
        <w:rPr/>
      </w:pPr>
      <w:r w:rsidDel="00000000" w:rsidR="00000000" w:rsidRPr="00000000">
        <w:rPr>
          <w:rtl w:val="0"/>
        </w:rPr>
        <w:br w:type="textWrapping"/>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■指示（Instruction）</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highlight w:val="yellow"/>
          <w:rtl w:val="0"/>
        </w:rPr>
        <w:t xml:space="preserve">企業名・商材名</w:t>
      </w:r>
      <w:r w:rsidDel="00000000" w:rsidR="00000000" w:rsidRPr="00000000">
        <w:rPr>
          <w:rFonts w:ascii="Arial Unicode MS" w:cs="Arial Unicode MS" w:eastAsia="Arial Unicode MS" w:hAnsi="Arial Unicode MS"/>
          <w:rtl w:val="0"/>
        </w:rPr>
        <w:t xml:space="preserve">について、以下の構成と要件に従って、深い思考を基にGTM戦略を立案してください。</w:t>
      </w:r>
    </w:p>
    <w:p w:rsidR="00000000" w:rsidDel="00000000" w:rsidP="00000000" w:rsidRDefault="00000000" w:rsidRPr="00000000" w14:paraId="00000006">
      <w:pPr>
        <w:spacing w:after="240" w:before="240" w:lineRule="auto"/>
        <w:rPr/>
      </w:pPr>
      <w:r w:rsidDel="00000000" w:rsidR="00000000" w:rsidRPr="00000000">
        <w:rPr>
          <w:rtl w:val="0"/>
        </w:rPr>
        <w:br w:type="textWrapping"/>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■出力要件（Output Requirements）</w:t>
      </w:r>
    </w:p>
    <w:p w:rsidR="00000000" w:rsidDel="00000000" w:rsidP="00000000" w:rsidRDefault="00000000" w:rsidRPr="00000000" w14:paraId="0000000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1. 文体</w:t>
      </w:r>
    </w:p>
    <w:p w:rsidR="00000000" w:rsidDel="00000000" w:rsidP="00000000" w:rsidRDefault="00000000" w:rsidRPr="00000000" w14:paraId="00000009">
      <w:pPr>
        <w:numPr>
          <w:ilvl w:val="0"/>
          <w:numId w:val="8"/>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Harvard Business Reviewや戦略コンサルティングファームのレポートを彷彿とさせる、プロフェッショナルで冷静なトーンで記述してください。</w:t>
      </w:r>
    </w:p>
    <w:p w:rsidR="00000000" w:rsidDel="00000000" w:rsidP="00000000" w:rsidRDefault="00000000" w:rsidRPr="00000000" w14:paraId="0000000A">
      <w:pPr>
        <w:numPr>
          <w:ilvl w:val="0"/>
          <w:numId w:val="8"/>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結論を明確に述べ、断定的な表現を用いますが、過度に扇動的にならないようにしてください。</w:t>
      </w:r>
    </w:p>
    <w:p w:rsidR="00000000" w:rsidDel="00000000" w:rsidP="00000000" w:rsidRDefault="00000000" w:rsidRPr="00000000" w14:paraId="0000000B">
      <w:pPr>
        <w:numPr>
          <w:ilvl w:val="0"/>
          <w:numId w:val="8"/>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各見出しの直後に数行レベルの導入文を記載してください</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2. 構成</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エグゼクティブサマリーで始まり、次に対象となる商材の概要や特徴説明、GTMI DMIモデルで提唱されている３つのレイヤー（【Market &amp; Account】、【Buyer &amp; Value】、【Channel &amp; Engagement】）に即して構成し、最後に提言をまとめてください。</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3. 要素別の必要項目</w:t>
      </w:r>
    </w:p>
    <w:p w:rsidR="00000000" w:rsidDel="00000000" w:rsidP="00000000" w:rsidRDefault="00000000" w:rsidRPr="00000000" w14:paraId="00000011">
      <w:pPr>
        <w:spacing w:after="240" w:before="240" w:lineRule="auto"/>
        <w:ind w:left="0" w:firstLine="0"/>
        <w:rPr/>
      </w:pPr>
      <w:r w:rsidDel="00000000" w:rsidR="00000000" w:rsidRPr="00000000">
        <w:rPr>
          <w:rFonts w:ascii="Arial Unicode MS" w:cs="Arial Unicode MS" w:eastAsia="Arial Unicode MS" w:hAnsi="Arial Unicode MS"/>
          <w:rtl w:val="0"/>
        </w:rPr>
        <w:t xml:space="preserve">各要素別に下記の内容をすべて含めてください。</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【エグゼクティブサマリー】</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結論ファーストで記述してください。この戦略が何を目的とし、どのように実行され、どのような成果が期待できるのか、最も重要なメッセージを冒頭で簡潔にまとめてください。</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【GTM戦略フレームワーク: GTM DMIモデルを必ず参照】</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からならずWebで「GTM DMIモデル（デジタルマーケティング研究機構）」を検索・参照し、そのGTMフレームワークの各要素に基づいて戦略を整理し、その根拠を明確に記述してください。（DMIはDigital Marketing Instituteという団体名の略称であり、”Define、Mesure、Improve”などのメソドロジー名ではない点に注意）</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また、GTM DMIモデルについて概要説明を参照URLとともに加えてください。</w:t>
      </w:r>
    </w:p>
    <w:p w:rsidR="00000000" w:rsidDel="00000000" w:rsidP="00000000" w:rsidRDefault="00000000" w:rsidRPr="00000000" w14:paraId="00000019">
      <w:pPr>
        <w:widowControl w:val="0"/>
        <w:numPr>
          <w:ilvl w:val="0"/>
          <w:numId w:val="1"/>
        </w:numPr>
        <w:spacing w:after="0" w:afterAutospacing="0" w:line="275.9999942779541" w:lineRule="auto"/>
        <w:ind w:left="465" w:hanging="360"/>
      </w:pPr>
      <w:r w:rsidDel="00000000" w:rsidR="00000000" w:rsidRPr="00000000">
        <w:rPr>
          <w:rFonts w:ascii="Google Sans Text" w:cs="Google Sans Text" w:eastAsia="Google Sans Text" w:hAnsi="Google Sans Text"/>
          <w:color w:val="1b1c1d"/>
          <w:rtl w:val="0"/>
        </w:rPr>
        <w:t xml:space="preserve">参照</w:t>
      </w:r>
    </w:p>
    <w:p w:rsidR="00000000" w:rsidDel="00000000" w:rsidP="00000000" w:rsidRDefault="00000000" w:rsidRPr="00000000" w14:paraId="0000001A">
      <w:pPr>
        <w:widowControl w:val="0"/>
        <w:numPr>
          <w:ilvl w:val="1"/>
          <w:numId w:val="1"/>
        </w:numPr>
        <w:spacing w:after="0" w:afterAutospacing="0" w:line="275.9999942779541" w:lineRule="auto"/>
        <w:ind w:left="870" w:hanging="360"/>
      </w:pPr>
      <w:r w:rsidDel="00000000" w:rsidR="00000000" w:rsidRPr="00000000">
        <w:rPr>
          <w:rFonts w:ascii="Google Sans Text" w:cs="Google Sans Text" w:eastAsia="Google Sans Text" w:hAnsi="Google Sans Text"/>
          <w:color w:val="1b1c1d"/>
          <w:rtl w:val="0"/>
        </w:rPr>
        <w:t xml:space="preserve">デジタルマーケティング研究機構（DMI）による発表資料 </w:t>
      </w:r>
      <w:hyperlink r:id="rId6">
        <w:r w:rsidDel="00000000" w:rsidR="00000000" w:rsidRPr="00000000">
          <w:rPr>
            <w:rFonts w:ascii="Google Sans Text" w:cs="Google Sans Text" w:eastAsia="Google Sans Text" w:hAnsi="Google Sans Text"/>
            <w:color w:val="1155cc"/>
            <w:u w:val="single"/>
            <w:rtl w:val="0"/>
          </w:rPr>
          <w:t xml:space="preserve">https://dmi.jaa.or.jp/general-browse/view/3763/2</w:t>
        </w:r>
      </w:hyperlink>
      <w:r w:rsidDel="00000000" w:rsidR="00000000" w:rsidRPr="00000000">
        <w:rPr>
          <w:rtl w:val="0"/>
        </w:rPr>
      </w:r>
    </w:p>
    <w:p w:rsidR="00000000" w:rsidDel="00000000" w:rsidP="00000000" w:rsidRDefault="00000000" w:rsidRPr="00000000" w14:paraId="0000001B">
      <w:pPr>
        <w:widowControl w:val="0"/>
        <w:numPr>
          <w:ilvl w:val="1"/>
          <w:numId w:val="1"/>
        </w:numPr>
        <w:spacing w:after="0" w:afterAutospacing="0" w:line="275.9999942779541" w:lineRule="auto"/>
        <w:ind w:left="870" w:hanging="360"/>
      </w:pPr>
      <w:r w:rsidDel="00000000" w:rsidR="00000000" w:rsidRPr="00000000">
        <w:rPr>
          <w:rFonts w:ascii="Google Sans Text" w:cs="Google Sans Text" w:eastAsia="Google Sans Text" w:hAnsi="Google Sans Text"/>
          <w:color w:val="1b1c1d"/>
          <w:rtl w:val="0"/>
        </w:rPr>
        <w:t xml:space="preserve">GTM DMIモデル（スプレッドシート形式）は、DMIのウェブサイトよりダウンロード可能である。  </w:t>
      </w:r>
      <w:hyperlink r:id="rId7">
        <w:r w:rsidDel="00000000" w:rsidR="00000000" w:rsidRPr="00000000">
          <w:rPr>
            <w:rFonts w:ascii="Google Sans Text" w:cs="Google Sans Text" w:eastAsia="Google Sans Text" w:hAnsi="Google Sans Text"/>
            <w:color w:val="1155cc"/>
            <w:u w:val="single"/>
            <w:rtl w:val="0"/>
          </w:rPr>
          <w:t xml:space="preserve">https://dmi.jaa.or.jp/general-file/download/1286</w:t>
        </w:r>
      </w:hyperlink>
      <w:r w:rsidDel="00000000" w:rsidR="00000000" w:rsidRPr="00000000">
        <w:rPr>
          <w:rtl w:val="0"/>
        </w:rPr>
      </w:r>
    </w:p>
    <w:p w:rsidR="00000000" w:rsidDel="00000000" w:rsidP="00000000" w:rsidRDefault="00000000" w:rsidRPr="00000000" w14:paraId="0000001C">
      <w:pPr>
        <w:widowControl w:val="0"/>
        <w:numPr>
          <w:ilvl w:val="1"/>
          <w:numId w:val="5"/>
        </w:numPr>
        <w:spacing w:after="120" w:line="275.9999942779541" w:lineRule="auto"/>
        <w:ind w:left="870" w:hanging="360"/>
      </w:pPr>
      <w:r w:rsidDel="00000000" w:rsidR="00000000" w:rsidRPr="00000000">
        <w:rPr>
          <w:rFonts w:ascii="Google Sans Text" w:cs="Google Sans Text" w:eastAsia="Google Sans Text" w:hAnsi="Google Sans Text"/>
          <w:color w:val="1b1c1d"/>
          <w:rtl w:val="0"/>
        </w:rPr>
        <w:t xml:space="preserve">Markezineの連載記事にGTM DMIモデルの詳細が説明されている </w:t>
      </w:r>
      <w:hyperlink r:id="rId8">
        <w:r w:rsidDel="00000000" w:rsidR="00000000" w:rsidRPr="00000000">
          <w:rPr>
            <w:rFonts w:ascii="Google Sans Text" w:cs="Google Sans Text" w:eastAsia="Google Sans Text" w:hAnsi="Google Sans Text"/>
            <w:color w:val="1155cc"/>
            <w:u w:val="single"/>
            <w:rtl w:val="0"/>
          </w:rPr>
          <w:t xml:space="preserve">https://markezine.jp/article/corner/1119</w:t>
        </w:r>
      </w:hyperlink>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【市場機会の定量化（TAM/SAM/SOM）】</w:t>
      </w:r>
    </w:p>
    <w:p w:rsidR="00000000" w:rsidDel="00000000" w:rsidP="00000000" w:rsidRDefault="00000000" w:rsidRPr="00000000" w14:paraId="0000001F">
      <w:pPr>
        <w:numPr>
          <w:ilvl w:val="0"/>
          <w:numId w:val="2"/>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TAM (Total Addressable Market): 獲得可能な最大の市場規模</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SAM (Serviceable Available Market): アプローチ可能な市場規模</w:t>
      </w:r>
    </w:p>
    <w:p w:rsidR="00000000" w:rsidDel="00000000" w:rsidP="00000000" w:rsidRDefault="00000000" w:rsidRPr="00000000" w14:paraId="00000021">
      <w:pPr>
        <w:numPr>
          <w:ilvl w:val="0"/>
          <w:numId w:val="2"/>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SOM (Serviceable Obtainable Market): 現実的に獲得可能な市場規模</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上記それぞれについて、金額ベースで市場規模を算出し、その**算出根拠（計算式、仮説）とデータソース（出典元URL、調査レポート名、発行年など）**を必ず明記してください。複数の情報源がある場合は、数値の幅も示してください。</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理論上、TAM＞SAM＞SOMとなるはずで、TAMからSAMを想定して算出、SAMからSOMを想定して算出、というロジックは担保してください。</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また、投資家や経営層の耳目を集める目的で市場規模（特にTAM）を過大に見せることは禁止します。レポートの信頼性と誠実性を優先してください。</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【バリューチェーンとパワーセンター分析】</w:t>
      </w:r>
    </w:p>
    <w:p w:rsidR="00000000" w:rsidDel="00000000" w:rsidP="00000000" w:rsidRDefault="00000000" w:rsidRPr="00000000" w14:paraId="00000027">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関与ステークホルダー: 購買プロセスに関与する全てのステークホルダー（例: エンドユーザー、購買担当者、情報システム部門、決裁者、インフルエンサー）を洗い出してください。</w:t>
      </w:r>
    </w:p>
    <w:p w:rsidR="00000000" w:rsidDel="00000000" w:rsidP="00000000" w:rsidRDefault="00000000" w:rsidRPr="00000000" w14:paraId="00000028">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パワーセンター: 特に意思決定に強い影響力を持つアカウントや部門（例: スペックインの権限を持つ技術部門、予算を握る事業部長など）を特定し、その影響力を分析してください。また、選定理由もファクトとともに必ず明記してください。</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br w:type="textWrapping"/>
        <w:t xml:space="preserve">【理想的なターゲットアカウント（ICP）】</w:t>
      </w:r>
    </w:p>
    <w:p w:rsidR="00000000" w:rsidDel="00000000" w:rsidP="00000000" w:rsidRDefault="00000000" w:rsidRPr="00000000" w14:paraId="0000002A">
      <w:pPr>
        <w:numPr>
          <w:ilvl w:val="0"/>
          <w:numId w:val="3"/>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ICP (Ideal Customer Profile): 貴社にとって最も価値の高い、理想的なアカウントプロファイルを定義してください。</w:t>
      </w:r>
    </w:p>
    <w:p w:rsidR="00000000" w:rsidDel="00000000" w:rsidP="00000000" w:rsidRDefault="00000000" w:rsidRPr="00000000" w14:paraId="0000002B">
      <w:pPr>
        <w:numPr>
          <w:ilvl w:val="0"/>
          <w:numId w:val="3"/>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ターゲットアカウントリスト: 上記ICPに基づき、ターゲットとすべき具体的な企業名・業界をリストアップしてください。（例: 製造業のA社、小売業のB社などの実名）</w:t>
      </w:r>
    </w:p>
    <w:p w:rsidR="00000000" w:rsidDel="00000000" w:rsidP="00000000" w:rsidRDefault="00000000" w:rsidRPr="00000000" w14:paraId="0000002C">
      <w:pPr>
        <w:numPr>
          <w:ilvl w:val="0"/>
          <w:numId w:val="3"/>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選定理由: なぜそれらの企業・業界をターゲットとするのか、その戦略的理由を明確に記述してください。</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【Buying Cneter分析】</w:t>
      </w:r>
    </w:p>
    <w:p w:rsidR="00000000" w:rsidDel="00000000" w:rsidP="00000000" w:rsidRDefault="00000000" w:rsidRPr="00000000" w14:paraId="0000002F">
      <w:pPr>
        <w:numPr>
          <w:ilvl w:val="0"/>
          <w:numId w:val="6"/>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ICP分析で設定されたターゲットとなるアカウント内に存在するBuying CenterのRoleを分析・定義してください。</w:t>
      </w:r>
    </w:p>
    <w:p w:rsidR="00000000" w:rsidDel="00000000" w:rsidP="00000000" w:rsidRDefault="00000000" w:rsidRPr="00000000" w14:paraId="00000030">
      <w:pPr>
        <w:numPr>
          <w:ilvl w:val="0"/>
          <w:numId w:val="6"/>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Role分析はターゲットアカウント毎に異なるため、アカウント毎に分けて記載してください。</w:t>
      </w:r>
    </w:p>
    <w:p w:rsidR="00000000" w:rsidDel="00000000" w:rsidP="00000000" w:rsidRDefault="00000000" w:rsidRPr="00000000" w14:paraId="00000031">
      <w:pPr>
        <w:numPr>
          <w:ilvl w:val="0"/>
          <w:numId w:val="6"/>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各Roleのナラティブ、Jobs To Be Done、Pain、Painを解消する自社製品のソリューションを必ず一覧で列記してください。</w:t>
      </w:r>
    </w:p>
    <w:p w:rsidR="00000000" w:rsidDel="00000000" w:rsidP="00000000" w:rsidRDefault="00000000" w:rsidRPr="00000000" w14:paraId="00000032">
      <w:pPr>
        <w:numPr>
          <w:ilvl w:val="0"/>
          <w:numId w:val="6"/>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Buying Centerが他部門に渡る場合は、全社導入のリーダーシップを発揮すべき経営層を明記し、その導入必然性のナラティブを明記してください。その際は経営層にとって「競合ではなく当該商材でなくてはならない理由」に加え、「Why Now（なぜ今でなくてはならないか）」を必ず明記してください。</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br w:type="textWrapping"/>
        <w:t xml:space="preserve">【アクションプラン】</w:t>
      </w:r>
    </w:p>
    <w:p w:rsidR="00000000" w:rsidDel="00000000" w:rsidP="00000000" w:rsidRDefault="00000000" w:rsidRPr="00000000" w14:paraId="00000034">
      <w:pPr>
        <w:numPr>
          <w:ilvl w:val="0"/>
          <w:numId w:val="7"/>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マーケティングキャンペーン案: ターゲットにリーチし、エンゲージメントを高めるための具体的なキャンペーン案を複数提案してください。</w:t>
      </w:r>
    </w:p>
    <w:p w:rsidR="00000000" w:rsidDel="00000000" w:rsidP="00000000" w:rsidRDefault="00000000" w:rsidRPr="00000000" w14:paraId="00000035">
      <w:pPr>
        <w:numPr>
          <w:ilvl w:val="1"/>
          <w:numId w:val="7"/>
        </w:numPr>
        <w:spacing w:after="0" w:afterAutospacing="0" w:before="0" w:beforeAutospacing="0" w:lineRule="auto"/>
        <w:ind w:left="1440" w:hanging="360"/>
        <w:rPr>
          <w:u w:val="none"/>
        </w:rPr>
      </w:pPr>
      <w:r w:rsidDel="00000000" w:rsidR="00000000" w:rsidRPr="00000000">
        <w:rPr>
          <w:rFonts w:ascii="Arial Unicode MS" w:cs="Arial Unicode MS" w:eastAsia="Arial Unicode MS" w:hAnsi="Arial Unicode MS"/>
          <w:rtl w:val="0"/>
        </w:rPr>
        <w:t xml:space="preserve">Buying CenterとそのPain解決に即したキャンペーン要素を提案してください</w:t>
      </w:r>
    </w:p>
    <w:p w:rsidR="00000000" w:rsidDel="00000000" w:rsidP="00000000" w:rsidRDefault="00000000" w:rsidRPr="00000000" w14:paraId="00000036">
      <w:pPr>
        <w:numPr>
          <w:ilvl w:val="1"/>
          <w:numId w:val="7"/>
        </w:numPr>
        <w:spacing w:after="0" w:afterAutospacing="0" w:before="0" w:beforeAutospacing="0" w:lineRule="auto"/>
        <w:ind w:left="1440" w:hanging="360"/>
        <w:rPr>
          <w:u w:val="none"/>
        </w:rPr>
      </w:pPr>
      <w:r w:rsidDel="00000000" w:rsidR="00000000" w:rsidRPr="00000000">
        <w:rPr>
          <w:rFonts w:ascii="Arial Unicode MS" w:cs="Arial Unicode MS" w:eastAsia="Arial Unicode MS" w:hAnsi="Arial Unicode MS"/>
          <w:rtl w:val="0"/>
        </w:rPr>
        <w:t xml:space="preserve">例: 特定業界向けオンラインセミナー、トライアルパッケージの提供、導入企業との共同ウェビナー、導入事例化を条件としたディスカウントなど</w:t>
      </w:r>
    </w:p>
    <w:p w:rsidR="00000000" w:rsidDel="00000000" w:rsidP="00000000" w:rsidRDefault="00000000" w:rsidRPr="00000000" w14:paraId="00000037">
      <w:pPr>
        <w:numPr>
          <w:ilvl w:val="0"/>
          <w:numId w:val="7"/>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チャネルイネーブルメント施策</w:t>
      </w:r>
    </w:p>
    <w:p w:rsidR="00000000" w:rsidDel="00000000" w:rsidP="00000000" w:rsidRDefault="00000000" w:rsidRPr="00000000" w14:paraId="00000038">
      <w:pPr>
        <w:numPr>
          <w:ilvl w:val="1"/>
          <w:numId w:val="7"/>
        </w:numPr>
        <w:spacing w:after="0" w:afterAutospacing="0" w:before="0" w:beforeAutospacing="0" w:lineRule="auto"/>
        <w:ind w:left="1440" w:hanging="360"/>
        <w:rPr>
          <w:u w:val="none"/>
        </w:rPr>
      </w:pPr>
      <w:r w:rsidDel="00000000" w:rsidR="00000000" w:rsidRPr="00000000">
        <w:rPr>
          <w:rFonts w:ascii="Arial Unicode MS" w:cs="Arial Unicode MS" w:eastAsia="Arial Unicode MS" w:hAnsi="Arial Unicode MS"/>
          <w:rtl w:val="0"/>
        </w:rPr>
        <w:t xml:space="preserve">営業や販売代理店、インサイドセールスなど、販売チャネルのイネーブルメント施策を具体例を挙げて明記してください。</w:t>
      </w:r>
    </w:p>
    <w:p w:rsidR="00000000" w:rsidDel="00000000" w:rsidP="00000000" w:rsidRDefault="00000000" w:rsidRPr="00000000" w14:paraId="00000039">
      <w:pPr>
        <w:numPr>
          <w:ilvl w:val="2"/>
          <w:numId w:val="7"/>
        </w:numPr>
        <w:spacing w:after="0" w:afterAutospacing="0" w:before="0" w:beforeAutospacing="0" w:lineRule="auto"/>
        <w:ind w:left="2160" w:hanging="360"/>
        <w:rPr>
          <w:u w:val="none"/>
        </w:rPr>
      </w:pPr>
      <w:r w:rsidDel="00000000" w:rsidR="00000000" w:rsidRPr="00000000">
        <w:rPr>
          <w:rFonts w:ascii="Arial Unicode MS" w:cs="Arial Unicode MS" w:eastAsia="Arial Unicode MS" w:hAnsi="Arial Unicode MS"/>
          <w:rtl w:val="0"/>
        </w:rPr>
        <w:t xml:space="preserve">チャネルイネーブルメントがなぜ必要か？その重要性について具体的に明示してください。</w:t>
      </w:r>
    </w:p>
    <w:p w:rsidR="00000000" w:rsidDel="00000000" w:rsidP="00000000" w:rsidRDefault="00000000" w:rsidRPr="00000000" w14:paraId="0000003A">
      <w:pPr>
        <w:numPr>
          <w:ilvl w:val="2"/>
          <w:numId w:val="7"/>
        </w:numPr>
        <w:spacing w:after="0" w:afterAutospacing="0" w:before="0" w:beforeAutospacing="0" w:lineRule="auto"/>
        <w:ind w:left="2160" w:hanging="360"/>
        <w:rPr>
          <w:u w:val="none"/>
        </w:rPr>
      </w:pPr>
      <w:r w:rsidDel="00000000" w:rsidR="00000000" w:rsidRPr="00000000">
        <w:rPr>
          <w:rFonts w:ascii="Arial Unicode MS" w:cs="Arial Unicode MS" w:eastAsia="Arial Unicode MS" w:hAnsi="Arial Unicode MS"/>
          <w:rtl w:val="0"/>
        </w:rPr>
        <w:t xml:space="preserve">不十分なイネーブルメントは戦略実行のボトルネックになる可能性も明記してください。</w:t>
      </w:r>
    </w:p>
    <w:p w:rsidR="00000000" w:rsidDel="00000000" w:rsidP="00000000" w:rsidRDefault="00000000" w:rsidRPr="00000000" w14:paraId="0000003B">
      <w:pPr>
        <w:numPr>
          <w:ilvl w:val="2"/>
          <w:numId w:val="7"/>
        </w:numPr>
        <w:spacing w:after="0" w:afterAutospacing="0" w:before="0" w:beforeAutospacing="0" w:lineRule="auto"/>
        <w:ind w:left="2160" w:hanging="360"/>
        <w:rPr>
          <w:u w:val="none"/>
        </w:rPr>
      </w:pPr>
      <w:r w:rsidDel="00000000" w:rsidR="00000000" w:rsidRPr="00000000">
        <w:rPr>
          <w:rFonts w:ascii="Arial Unicode MS" w:cs="Arial Unicode MS" w:eastAsia="Arial Unicode MS" w:hAnsi="Arial Unicode MS"/>
          <w:rtl w:val="0"/>
        </w:rPr>
        <w:t xml:space="preserve">Sales Playbook、バトルカード、インセンティブ設計、教育体系、PreSalesにおける技術支援など</w:t>
      </w:r>
    </w:p>
    <w:p w:rsidR="00000000" w:rsidDel="00000000" w:rsidP="00000000" w:rsidRDefault="00000000" w:rsidRPr="00000000" w14:paraId="0000003C">
      <w:pPr>
        <w:numPr>
          <w:ilvl w:val="0"/>
          <w:numId w:val="7"/>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-Post Salesの施策についても記載してください。</w:t>
      </w:r>
    </w:p>
    <w:p w:rsidR="00000000" w:rsidDel="00000000" w:rsidP="00000000" w:rsidRDefault="00000000" w:rsidRPr="00000000" w14:paraId="0000003D">
      <w:pPr>
        <w:numPr>
          <w:ilvl w:val="1"/>
          <w:numId w:val="7"/>
        </w:numPr>
        <w:spacing w:after="240" w:before="0" w:beforeAutospacing="0" w:lineRule="auto"/>
        <w:ind w:left="1440" w:hanging="360"/>
        <w:rPr>
          <w:u w:val="none"/>
        </w:rPr>
      </w:pPr>
      <w:r w:rsidDel="00000000" w:rsidR="00000000" w:rsidRPr="00000000">
        <w:rPr>
          <w:rFonts w:ascii="Arial Unicode MS" w:cs="Arial Unicode MS" w:eastAsia="Arial Unicode MS" w:hAnsi="Arial Unicode MS"/>
          <w:rtl w:val="0"/>
        </w:rPr>
        <w:t xml:space="preserve">カスタマーサクセス、保守、運用の技術支援やコンサルテーションなど、顧客がサクセスせずに離脱するリスクを評価し、対策を提案してください。</w:t>
      </w:r>
    </w:p>
    <w:p w:rsidR="00000000" w:rsidDel="00000000" w:rsidP="00000000" w:rsidRDefault="00000000" w:rsidRPr="00000000" w14:paraId="0000003E">
      <w:pPr>
        <w:spacing w:after="240" w:before="240" w:lineRule="auto"/>
        <w:ind w:left="0" w:firstLine="0"/>
        <w:rPr/>
      </w:pPr>
      <w:r w:rsidDel="00000000" w:rsidR="00000000" w:rsidRPr="00000000">
        <w:rPr>
          <w:rFonts w:ascii="Arial Unicode MS" w:cs="Arial Unicode MS" w:eastAsia="Arial Unicode MS" w:hAnsi="Arial Unicode MS"/>
          <w:rtl w:val="0"/>
        </w:rPr>
        <w:t xml:space="preserve">【GTM戦略の実行ガバナンスとプラン】</w:t>
      </w:r>
    </w:p>
    <w:p w:rsidR="00000000" w:rsidDel="00000000" w:rsidP="00000000" w:rsidRDefault="00000000" w:rsidRPr="00000000" w14:paraId="0000003F">
      <w:pPr>
        <w:numPr>
          <w:ilvl w:val="0"/>
          <w:numId w:val="9"/>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戦略がいかに精緻でも、実行が伴わなければ「絵に描いた餅」となる。その旨注意喚起を行い、どのように組織的取り組みを担保するのかを具体的にプランとして明記せよ。</w:t>
      </w:r>
    </w:p>
    <w:p w:rsidR="00000000" w:rsidDel="00000000" w:rsidP="00000000" w:rsidRDefault="00000000" w:rsidRPr="00000000" w14:paraId="00000040">
      <w:pPr>
        <w:numPr>
          <w:ilvl w:val="0"/>
          <w:numId w:val="9"/>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戦略を成功に導くための必要な関係者と役割を定義し、よくある失敗を例に挙げ、対処として各役割の必要なコミットメント、レビューサイクル、会議体などを提案してください。</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【重要業績評価指標（KPI）】</w:t>
      </w:r>
    </w:p>
    <w:p w:rsidR="00000000" w:rsidDel="00000000" w:rsidP="00000000" w:rsidRDefault="00000000" w:rsidRPr="00000000" w14:paraId="00000042">
      <w:pPr>
        <w:numPr>
          <w:ilvl w:val="0"/>
          <w:numId w:val="10"/>
        </w:numPr>
        <w:spacing w:after="240" w:before="240" w:lineRule="auto"/>
        <w:ind w:left="720" w:hanging="360"/>
        <w:rPr>
          <w:u w:val="none"/>
        </w:rPr>
      </w:pPr>
      <w:r w:rsidDel="00000000" w:rsidR="00000000" w:rsidRPr="00000000">
        <w:rPr>
          <w:rFonts w:ascii="Arial Unicode MS" w:cs="Arial Unicode MS" w:eastAsia="Arial Unicode MS" w:hAnsi="Arial Unicode MS"/>
          <w:rtl w:val="0"/>
        </w:rPr>
        <w:t xml:space="preserve">各キャンペーン案の効果を測定するための定量的なKPIを設定してください。（例: リード獲得数、商談化率、受注率、顧客獲得単価（CAC）、契約金額など）</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【想定されうる反論とその反証】</w:t>
      </w:r>
    </w:p>
    <w:p w:rsidR="00000000" w:rsidDel="00000000" w:rsidP="00000000" w:rsidRDefault="00000000" w:rsidRPr="00000000" w14:paraId="00000044">
      <w:pPr>
        <w:numPr>
          <w:ilvl w:val="0"/>
          <w:numId w:val="11"/>
        </w:numPr>
        <w:spacing w:after="0" w:afterAutospacing="0" w:before="240" w:lineRule="auto"/>
        <w:ind w:left="720" w:hanging="360"/>
        <w:rPr>
          <w:u w:val="none"/>
        </w:rPr>
      </w:pPr>
      <w:r w:rsidDel="00000000" w:rsidR="00000000" w:rsidRPr="00000000">
        <w:rPr>
          <w:rFonts w:ascii="Arial Unicode MS" w:cs="Arial Unicode MS" w:eastAsia="Arial Unicode MS" w:hAnsi="Arial Unicode MS"/>
          <w:rtl w:val="0"/>
        </w:rPr>
        <w:t xml:space="preserve">レポートの後段に、批判的な立場からこのGTM戦略に対する多角的な反論を行い、その反論に対する反証をファクトとともに明記してください。顧客からの反論と社内からの反論の双方を含みます。</w:t>
      </w:r>
    </w:p>
    <w:p w:rsidR="00000000" w:rsidDel="00000000" w:rsidP="00000000" w:rsidRDefault="00000000" w:rsidRPr="00000000" w14:paraId="00000045">
      <w:pPr>
        <w:numPr>
          <w:ilvl w:val="0"/>
          <w:numId w:val="11"/>
        </w:numPr>
        <w:spacing w:after="24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特にTAM/SAM/SOMについては綿密に検証してください。</w:t>
      </w:r>
    </w:p>
    <w:p w:rsidR="00000000" w:rsidDel="00000000" w:rsidP="00000000" w:rsidRDefault="00000000" w:rsidRPr="00000000" w14:paraId="00000046">
      <w:pPr>
        <w:spacing w:after="240" w:before="240" w:lineRule="auto"/>
        <w:rPr/>
      </w:pPr>
      <w:r w:rsidDel="00000000" w:rsidR="00000000" w:rsidRPr="00000000">
        <w:rPr>
          <w:rtl w:val="0"/>
        </w:rPr>
        <w:br w:type="textWrapping"/>
      </w:r>
    </w:p>
    <w:p w:rsidR="00000000" w:rsidDel="00000000" w:rsidP="00000000" w:rsidRDefault="00000000" w:rsidRPr="00000000" w14:paraId="00000047">
      <w:pPr>
        <w:spacing w:after="240" w:before="240" w:lineRule="auto"/>
        <w:rPr>
          <w:b w:val="1"/>
          <w:bCs w:val="1"/>
        </w:rPr>
      </w:pP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Google Sans Te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mi.jaa.or.jp/general-browse/view/3763/2" TargetMode="External"/><Relationship Id="rId7" Type="http://schemas.openxmlformats.org/officeDocument/2006/relationships/hyperlink" Target="https://dmi.jaa.or.jp/general-file/download/1286" TargetMode="External"/><Relationship Id="rId8" Type="http://schemas.openxmlformats.org/officeDocument/2006/relationships/hyperlink" Target="https://markezine.jp/article/corner/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